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489" w:rsidRDefault="00432489" w:rsidP="00432489">
      <w:pPr>
        <w:spacing w:after="0" w:line="240" w:lineRule="auto"/>
        <w:jc w:val="both"/>
        <w:rPr>
          <w:rFonts w:eastAsia="Calibri" w:cs="Times New Roman"/>
          <w:b/>
          <w:sz w:val="24"/>
          <w:szCs w:val="24"/>
          <w:lang w:val="it-IT" w:eastAsia="ro-RO"/>
        </w:rPr>
      </w:pPr>
    </w:p>
    <w:p w:rsidR="00432489" w:rsidRDefault="00FF4F0D" w:rsidP="00432489">
      <w:pPr>
        <w:spacing w:after="0" w:line="240" w:lineRule="auto"/>
        <w:jc w:val="both"/>
        <w:rPr>
          <w:rFonts w:eastAsia="Calibri" w:cs="Times New Roman"/>
          <w:b/>
          <w:sz w:val="24"/>
          <w:szCs w:val="24"/>
          <w:lang w:val="it-IT" w:eastAsia="ro-RO"/>
        </w:rPr>
      </w:pPr>
      <w:r>
        <w:rPr>
          <w:rFonts w:eastAsia="Calibri" w:cs="Times New Roman"/>
          <w:b/>
          <w:noProof/>
          <w:sz w:val="24"/>
          <w:szCs w:val="24"/>
          <w:lang w:eastAsia="ro-RO"/>
        </w:rPr>
        <w:drawing>
          <wp:inline distT="0" distB="0" distL="0" distR="0">
            <wp:extent cx="5762625" cy="4324350"/>
            <wp:effectExtent l="0" t="0" r="9525" b="0"/>
            <wp:docPr id="2" name="Imagine 2" descr="C:\Users\god007\Desktop\PHOTO-2021-01-29-10-21-53 (Smal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d007\Desktop\PHOTO-2021-01-29-10-21-53 (Small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2489" w:rsidRDefault="00432489" w:rsidP="00432489">
      <w:pPr>
        <w:spacing w:after="0" w:line="240" w:lineRule="auto"/>
        <w:jc w:val="both"/>
        <w:rPr>
          <w:rFonts w:eastAsia="Calibri" w:cs="Times New Roman"/>
          <w:b/>
          <w:sz w:val="24"/>
          <w:szCs w:val="24"/>
          <w:lang w:val="it-IT" w:eastAsia="ro-RO"/>
        </w:rPr>
      </w:pPr>
    </w:p>
    <w:p w:rsidR="00432489" w:rsidRDefault="00432489" w:rsidP="00432489">
      <w:pPr>
        <w:spacing w:after="0" w:line="240" w:lineRule="auto"/>
        <w:jc w:val="both"/>
        <w:rPr>
          <w:rFonts w:eastAsia="Calibri" w:cs="Times New Roman"/>
          <w:b/>
          <w:sz w:val="24"/>
          <w:szCs w:val="24"/>
          <w:lang w:val="it-IT" w:eastAsia="ro-RO"/>
        </w:rPr>
      </w:pPr>
    </w:p>
    <w:p w:rsidR="00B61957" w:rsidRPr="009A0FE3" w:rsidRDefault="00194A14" w:rsidP="00432489">
      <w:pPr>
        <w:spacing w:after="0" w:line="240" w:lineRule="auto"/>
        <w:jc w:val="both"/>
        <w:rPr>
          <w:rFonts w:eastAsia="Calibri" w:cs="Times New Roman"/>
          <w:b/>
          <w:sz w:val="24"/>
          <w:szCs w:val="24"/>
          <w:lang w:eastAsia="ro-RO"/>
        </w:rPr>
      </w:pPr>
      <w:r w:rsidRPr="009A0FE3">
        <w:rPr>
          <w:rFonts w:eastAsia="Calibri" w:cs="Times New Roman"/>
          <w:b/>
          <w:sz w:val="24"/>
          <w:szCs w:val="24"/>
          <w:lang w:val="it-IT" w:eastAsia="ro-RO"/>
        </w:rPr>
        <w:t>Comunicat de pres</w:t>
      </w:r>
      <w:r w:rsidRPr="009A0FE3">
        <w:rPr>
          <w:rFonts w:eastAsia="Calibri" w:cs="Times New Roman"/>
          <w:b/>
          <w:sz w:val="24"/>
          <w:szCs w:val="24"/>
          <w:lang w:eastAsia="ro-RO"/>
        </w:rPr>
        <w:t>ă privind lista de investiţii publice de interes local finanţate în 2021 din împrumutul bancar contractat de la CEC BANK în valoare de 41.572.000 lei</w:t>
      </w:r>
    </w:p>
    <w:p w:rsidR="00B61957" w:rsidRDefault="00B61957" w:rsidP="004324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it-IT" w:eastAsia="ro-RO"/>
        </w:rPr>
      </w:pPr>
    </w:p>
    <w:p w:rsidR="00F93685" w:rsidRPr="0092668B" w:rsidRDefault="00F93685" w:rsidP="00432489">
      <w:pPr>
        <w:spacing w:after="0" w:line="240" w:lineRule="auto"/>
        <w:jc w:val="both"/>
        <w:rPr>
          <w:rFonts w:eastAsia="Calibri" w:cs="Times New Roman"/>
          <w:sz w:val="24"/>
          <w:szCs w:val="24"/>
          <w:lang w:eastAsia="ro-RO"/>
        </w:rPr>
      </w:pPr>
      <w:r w:rsidRPr="0092668B">
        <w:rPr>
          <w:rFonts w:eastAsia="Calibri" w:cs="Times New Roman"/>
          <w:sz w:val="24"/>
          <w:szCs w:val="24"/>
          <w:lang w:val="it-IT" w:eastAsia="ro-RO"/>
        </w:rPr>
        <w:t>Consilierii locali</w:t>
      </w:r>
      <w:r w:rsidRPr="0092668B">
        <w:rPr>
          <w:rFonts w:eastAsia="Calibri" w:cs="Times New Roman"/>
          <w:sz w:val="24"/>
          <w:szCs w:val="24"/>
          <w:lang w:eastAsia="ro-RO"/>
        </w:rPr>
        <w:t xml:space="preserve"> au adoptat joi, în cadrul primei şedinţe ordinare de plen din acest an, aproape cu unanimitate</w:t>
      </w:r>
      <w:r w:rsidR="00E65C8E" w:rsidRPr="0092668B">
        <w:rPr>
          <w:rFonts w:eastAsia="Calibri" w:cs="Times New Roman"/>
          <w:sz w:val="24"/>
          <w:szCs w:val="24"/>
          <w:lang w:eastAsia="ro-RO"/>
        </w:rPr>
        <w:t xml:space="preserve"> (20 de voturi pentru, unul împotrivă</w:t>
      </w:r>
      <w:r w:rsidR="00E65C8E" w:rsidRPr="0092668B">
        <w:rPr>
          <w:rFonts w:eastAsia="Calibri" w:cs="Times New Roman"/>
          <w:b/>
          <w:sz w:val="24"/>
          <w:szCs w:val="24"/>
          <w:lang w:eastAsia="ro-RO"/>
        </w:rPr>
        <w:t>)</w:t>
      </w:r>
      <w:r w:rsidRPr="0092668B">
        <w:rPr>
          <w:rFonts w:eastAsia="Calibri" w:cs="Times New Roman"/>
          <w:b/>
          <w:sz w:val="24"/>
          <w:szCs w:val="24"/>
          <w:lang w:eastAsia="ro-RO"/>
        </w:rPr>
        <w:t xml:space="preserve"> Proiectul de Hotărâre priv</w:t>
      </w:r>
      <w:r w:rsidR="0092668B" w:rsidRPr="0092668B">
        <w:rPr>
          <w:rFonts w:eastAsia="Calibri" w:cs="Times New Roman"/>
          <w:b/>
          <w:sz w:val="24"/>
          <w:szCs w:val="24"/>
          <w:lang w:eastAsia="ro-RO"/>
        </w:rPr>
        <w:t xml:space="preserve">ind modificarea şi completarea </w:t>
      </w:r>
      <w:r w:rsidRPr="0092668B">
        <w:rPr>
          <w:rFonts w:eastAsia="Calibri" w:cs="Times New Roman"/>
          <w:b/>
          <w:sz w:val="24"/>
          <w:szCs w:val="24"/>
          <w:lang w:eastAsia="ro-RO"/>
        </w:rPr>
        <w:t>Hotărârii Consiliului Local nr.134/2018 privind aprobarea contractării unei finanțări rambursabile interne în valoare de  41.572.000 le</w:t>
      </w:r>
      <w:r w:rsidRPr="0092668B">
        <w:rPr>
          <w:rFonts w:eastAsia="Calibri" w:cs="Times New Roman"/>
          <w:sz w:val="24"/>
          <w:szCs w:val="24"/>
          <w:lang w:eastAsia="ro-RO"/>
        </w:rPr>
        <w:t>i,</w:t>
      </w:r>
      <w:r w:rsidR="0092668B">
        <w:rPr>
          <w:rFonts w:eastAsia="Calibri" w:cs="Times New Roman"/>
          <w:sz w:val="24"/>
          <w:szCs w:val="24"/>
          <w:lang w:eastAsia="ro-RO"/>
        </w:rPr>
        <w:t xml:space="preserve"> </w:t>
      </w:r>
      <w:r w:rsidRPr="0092668B">
        <w:rPr>
          <w:rFonts w:eastAsia="Calibri" w:cs="Times New Roman"/>
          <w:sz w:val="24"/>
          <w:szCs w:val="24"/>
          <w:lang w:eastAsia="ro-RO"/>
        </w:rPr>
        <w:t>în vederea finanțării</w:t>
      </w:r>
      <w:r w:rsidR="00E65C8E" w:rsidRPr="0092668B">
        <w:rPr>
          <w:rFonts w:eastAsia="Calibri" w:cs="Times New Roman"/>
          <w:sz w:val="24"/>
          <w:szCs w:val="24"/>
          <w:lang w:eastAsia="ro-RO"/>
        </w:rPr>
        <w:t>,</w:t>
      </w:r>
      <w:r w:rsidRPr="0092668B">
        <w:rPr>
          <w:rFonts w:eastAsia="Calibri" w:cs="Times New Roman"/>
          <w:sz w:val="24"/>
          <w:szCs w:val="24"/>
          <w:lang w:eastAsia="ro-RO"/>
        </w:rPr>
        <w:t xml:space="preserve"> a unor investiții publice de interes local.</w:t>
      </w:r>
    </w:p>
    <w:p w:rsidR="00E65C8E" w:rsidRPr="0092668B" w:rsidRDefault="00F93685" w:rsidP="00432489">
      <w:pPr>
        <w:spacing w:after="0" w:line="240" w:lineRule="auto"/>
        <w:jc w:val="both"/>
        <w:rPr>
          <w:rFonts w:eastAsia="Calibri" w:cs="Times New Roman"/>
          <w:sz w:val="24"/>
          <w:szCs w:val="24"/>
          <w:lang w:eastAsia="ro-RO"/>
        </w:rPr>
      </w:pPr>
      <w:r w:rsidRPr="0092668B">
        <w:rPr>
          <w:rFonts w:eastAsia="Calibri" w:cs="Times New Roman"/>
          <w:sz w:val="24"/>
          <w:szCs w:val="24"/>
          <w:lang w:eastAsia="ro-RO"/>
        </w:rPr>
        <w:t>Concret, a fost aprobată lista cu</w:t>
      </w:r>
      <w:r w:rsidR="00E65C8E" w:rsidRPr="0092668B">
        <w:rPr>
          <w:rFonts w:eastAsia="Calibri" w:cs="Times New Roman"/>
          <w:sz w:val="24"/>
          <w:szCs w:val="24"/>
          <w:lang w:eastAsia="ro-RO"/>
        </w:rPr>
        <w:t xml:space="preserve"> obiectivele ce vor fi finanţate în acest an din</w:t>
      </w:r>
      <w:r w:rsidR="00194A14">
        <w:rPr>
          <w:rFonts w:eastAsia="Calibri" w:cs="Times New Roman"/>
          <w:sz w:val="24"/>
          <w:szCs w:val="24"/>
          <w:lang w:eastAsia="ro-RO"/>
        </w:rPr>
        <w:t xml:space="preserve"> suma rămasă (19.809.775,92 lei), din</w:t>
      </w:r>
      <w:r w:rsidR="00E65C8E" w:rsidRPr="0092668B">
        <w:rPr>
          <w:rFonts w:eastAsia="Calibri" w:cs="Times New Roman"/>
          <w:sz w:val="24"/>
          <w:szCs w:val="24"/>
          <w:lang w:eastAsia="ro-RO"/>
        </w:rPr>
        <w:t xml:space="preserve"> creditul mai sus-menţionat</w:t>
      </w:r>
      <w:r w:rsidR="0092668B">
        <w:rPr>
          <w:rFonts w:eastAsia="Calibri" w:cs="Times New Roman"/>
          <w:sz w:val="24"/>
          <w:szCs w:val="24"/>
          <w:lang w:eastAsia="ro-RO"/>
        </w:rPr>
        <w:t>,</w:t>
      </w:r>
      <w:r w:rsidR="00194A14">
        <w:rPr>
          <w:rFonts w:eastAsia="Calibri" w:cs="Times New Roman"/>
          <w:sz w:val="24"/>
          <w:szCs w:val="24"/>
          <w:lang w:eastAsia="ro-RO"/>
        </w:rPr>
        <w:t xml:space="preserve"> </w:t>
      </w:r>
      <w:r w:rsidR="00E65C8E" w:rsidRPr="0092668B">
        <w:rPr>
          <w:rFonts w:eastAsia="Calibri" w:cs="Times New Roman"/>
          <w:sz w:val="24"/>
          <w:szCs w:val="24"/>
          <w:lang w:eastAsia="ro-RO"/>
        </w:rPr>
        <w:t>contractat în 2018 de la CEC Bank.</w:t>
      </w:r>
    </w:p>
    <w:p w:rsidR="00F93685" w:rsidRPr="0092668B" w:rsidRDefault="00F93685" w:rsidP="00432489">
      <w:pPr>
        <w:spacing w:after="0" w:line="240" w:lineRule="auto"/>
        <w:jc w:val="both"/>
        <w:rPr>
          <w:rFonts w:eastAsia="Calibri" w:cs="Times New Roman"/>
          <w:b/>
          <w:sz w:val="24"/>
          <w:szCs w:val="24"/>
          <w:lang w:eastAsia="ro-RO"/>
        </w:rPr>
      </w:pPr>
      <w:r w:rsidRPr="0092668B">
        <w:rPr>
          <w:rFonts w:eastAsia="Calibri" w:cs="Times New Roman"/>
          <w:b/>
          <w:sz w:val="24"/>
          <w:szCs w:val="24"/>
          <w:lang w:eastAsia="ro-RO"/>
        </w:rPr>
        <w:t>„</w:t>
      </w:r>
      <w:r w:rsidR="00E65C8E" w:rsidRPr="0092668B">
        <w:rPr>
          <w:rFonts w:eastAsia="Calibri" w:cs="Times New Roman"/>
          <w:b/>
          <w:sz w:val="24"/>
          <w:szCs w:val="24"/>
          <w:lang w:eastAsia="ro-RO"/>
        </w:rPr>
        <w:t>Până la această dată, soldul afe</w:t>
      </w:r>
      <w:r w:rsidR="0092668B" w:rsidRPr="0092668B">
        <w:rPr>
          <w:rFonts w:eastAsia="Calibri" w:cs="Times New Roman"/>
          <w:b/>
          <w:sz w:val="24"/>
          <w:szCs w:val="24"/>
          <w:lang w:eastAsia="ro-RO"/>
        </w:rPr>
        <w:t xml:space="preserve">rent acestui împrumut bancar de la </w:t>
      </w:r>
      <w:r w:rsidR="00E65C8E" w:rsidRPr="0092668B">
        <w:rPr>
          <w:rFonts w:eastAsia="Calibri" w:cs="Times New Roman"/>
          <w:b/>
          <w:sz w:val="24"/>
          <w:szCs w:val="24"/>
          <w:lang w:eastAsia="ro-RO"/>
        </w:rPr>
        <w:t>CEC BANK</w:t>
      </w:r>
      <w:r w:rsidRPr="0092668B">
        <w:rPr>
          <w:rFonts w:eastAsia="Calibri" w:cs="Times New Roman"/>
          <w:b/>
          <w:sz w:val="24"/>
          <w:szCs w:val="24"/>
          <w:lang w:eastAsia="ro-RO"/>
        </w:rPr>
        <w:t xml:space="preserve"> este de 21.762.224,08 lei (4.828.698,62 lei</w:t>
      </w:r>
      <w:r w:rsidR="00E65C8E" w:rsidRPr="0092668B">
        <w:rPr>
          <w:rFonts w:eastAsia="Calibri" w:cs="Times New Roman"/>
          <w:b/>
          <w:sz w:val="24"/>
          <w:szCs w:val="24"/>
          <w:lang w:eastAsia="ro-RO"/>
        </w:rPr>
        <w:t xml:space="preserve">, trageri în anul 2019 respectiv </w:t>
      </w:r>
      <w:r w:rsidRPr="0092668B">
        <w:rPr>
          <w:rFonts w:eastAsia="Calibri" w:cs="Times New Roman"/>
          <w:b/>
          <w:sz w:val="24"/>
          <w:szCs w:val="24"/>
          <w:lang w:eastAsia="ro-RO"/>
        </w:rPr>
        <w:t>16.933.525,46 lei</w:t>
      </w:r>
      <w:r w:rsidR="00E65C8E" w:rsidRPr="0092668B">
        <w:rPr>
          <w:rFonts w:eastAsia="Calibri" w:cs="Times New Roman"/>
          <w:b/>
          <w:sz w:val="24"/>
          <w:szCs w:val="24"/>
          <w:lang w:eastAsia="ro-RO"/>
        </w:rPr>
        <w:t>, trageri î</w:t>
      </w:r>
      <w:r w:rsidRPr="0092668B">
        <w:rPr>
          <w:rFonts w:eastAsia="Calibri" w:cs="Times New Roman"/>
          <w:b/>
          <w:sz w:val="24"/>
          <w:szCs w:val="24"/>
          <w:lang w:eastAsia="ro-RO"/>
        </w:rPr>
        <w:t>n anul 2020</w:t>
      </w:r>
      <w:r w:rsidR="00E65C8E" w:rsidRPr="0092668B">
        <w:rPr>
          <w:rFonts w:eastAsia="Calibri" w:cs="Times New Roman"/>
          <w:b/>
          <w:sz w:val="24"/>
          <w:szCs w:val="24"/>
          <w:lang w:eastAsia="ro-RO"/>
        </w:rPr>
        <w:t>) şi pentru care se plăteşte o dobândă lunară</w:t>
      </w:r>
      <w:r w:rsidRPr="0092668B">
        <w:rPr>
          <w:rFonts w:eastAsia="Calibri" w:cs="Times New Roman"/>
          <w:b/>
          <w:sz w:val="24"/>
          <w:szCs w:val="24"/>
          <w:lang w:eastAsia="ro-RO"/>
        </w:rPr>
        <w:t>, de aproximativ 87 mii lei.</w:t>
      </w:r>
    </w:p>
    <w:p w:rsidR="00F93685" w:rsidRPr="0092668B" w:rsidRDefault="00E65C8E" w:rsidP="00432489">
      <w:pPr>
        <w:spacing w:after="0" w:line="240" w:lineRule="auto"/>
        <w:jc w:val="both"/>
        <w:rPr>
          <w:rFonts w:eastAsia="Calibri" w:cs="Times New Roman"/>
          <w:b/>
          <w:sz w:val="24"/>
          <w:szCs w:val="24"/>
          <w:lang w:eastAsia="ro-RO"/>
        </w:rPr>
      </w:pPr>
      <w:r w:rsidRPr="0092668B">
        <w:rPr>
          <w:rFonts w:eastAsia="Calibri" w:cs="Times New Roman"/>
          <w:b/>
          <w:sz w:val="24"/>
          <w:szCs w:val="24"/>
          <w:lang w:eastAsia="ro-RO"/>
        </w:rPr>
        <w:t>Din suma totală a tragerilor din credit în anul 2020, suma aferentă</w:t>
      </w:r>
      <w:r w:rsidR="00F93685" w:rsidRPr="0092668B">
        <w:rPr>
          <w:rFonts w:eastAsia="Calibri" w:cs="Times New Roman"/>
          <w:b/>
          <w:sz w:val="24"/>
          <w:szCs w:val="24"/>
          <w:lang w:eastAsia="ro-RO"/>
        </w:rPr>
        <w:t xml:space="preserve"> proiectelor cu</w:t>
      </w:r>
      <w:r w:rsidRPr="0092668B">
        <w:rPr>
          <w:rFonts w:eastAsia="Calibri" w:cs="Times New Roman"/>
          <w:b/>
          <w:sz w:val="24"/>
          <w:szCs w:val="24"/>
          <w:lang w:eastAsia="ro-RO"/>
        </w:rPr>
        <w:t xml:space="preserve"> finanţare din FEN</w:t>
      </w:r>
      <w:r w:rsidR="00F93685" w:rsidRPr="0092668B">
        <w:rPr>
          <w:rFonts w:eastAsia="Calibri" w:cs="Times New Roman"/>
          <w:b/>
          <w:sz w:val="24"/>
          <w:szCs w:val="24"/>
          <w:lang w:eastAsia="ro-RO"/>
        </w:rPr>
        <w:t xml:space="preserve"> a fost de 3.003.600,57 lei.</w:t>
      </w:r>
    </w:p>
    <w:p w:rsidR="00F93685" w:rsidRPr="0092668B" w:rsidRDefault="00E65C8E" w:rsidP="00432489">
      <w:pPr>
        <w:spacing w:after="0" w:line="240" w:lineRule="auto"/>
        <w:jc w:val="both"/>
        <w:rPr>
          <w:rFonts w:eastAsia="Calibri" w:cs="Times New Roman"/>
          <w:b/>
          <w:sz w:val="24"/>
          <w:szCs w:val="24"/>
          <w:lang w:eastAsia="ro-RO"/>
        </w:rPr>
      </w:pPr>
      <w:r w:rsidRPr="0092668B">
        <w:rPr>
          <w:rFonts w:eastAsia="Calibri" w:cs="Times New Roman"/>
          <w:b/>
          <w:sz w:val="24"/>
          <w:szCs w:val="24"/>
          <w:lang w:eastAsia="ro-RO"/>
        </w:rPr>
        <w:t>În urma analizării stadiului fizic al lucrărilor de investiţ</w:t>
      </w:r>
      <w:r w:rsidR="00F93685" w:rsidRPr="0092668B">
        <w:rPr>
          <w:rFonts w:eastAsia="Calibri" w:cs="Times New Roman"/>
          <w:b/>
          <w:sz w:val="24"/>
          <w:szCs w:val="24"/>
          <w:lang w:eastAsia="ro-RO"/>
        </w:rPr>
        <w:t>ii derulate</w:t>
      </w:r>
      <w:r w:rsidRPr="0092668B">
        <w:rPr>
          <w:rFonts w:eastAsia="Calibri" w:cs="Times New Roman"/>
          <w:b/>
          <w:sz w:val="24"/>
          <w:szCs w:val="24"/>
          <w:lang w:eastAsia="ro-RO"/>
        </w:rPr>
        <w:t xml:space="preserve"> la nivelul municipiului Călăraşi, precum şi a restului de executat până</w:t>
      </w:r>
      <w:r w:rsidR="00F93685" w:rsidRPr="0092668B">
        <w:rPr>
          <w:rFonts w:eastAsia="Calibri" w:cs="Times New Roman"/>
          <w:b/>
          <w:sz w:val="24"/>
          <w:szCs w:val="24"/>
          <w:lang w:eastAsia="ro-RO"/>
        </w:rPr>
        <w:t xml:space="preserve"> la finalizarea acestora, comparativ cu sursele finan</w:t>
      </w:r>
      <w:r w:rsidR="0092668B">
        <w:rPr>
          <w:rFonts w:eastAsia="Calibri" w:cs="Times New Roman"/>
          <w:b/>
          <w:sz w:val="24"/>
          <w:szCs w:val="24"/>
          <w:lang w:eastAsia="ro-RO"/>
        </w:rPr>
        <w:t xml:space="preserve">ciare disponibile, </w:t>
      </w:r>
      <w:r w:rsidRPr="0092668B">
        <w:rPr>
          <w:rFonts w:eastAsia="Calibri" w:cs="Times New Roman"/>
          <w:b/>
          <w:sz w:val="24"/>
          <w:szCs w:val="24"/>
          <w:lang w:eastAsia="ro-RO"/>
        </w:rPr>
        <w:t xml:space="preserve">am decis </w:t>
      </w:r>
      <w:r w:rsidR="00F93685" w:rsidRPr="0092668B">
        <w:rPr>
          <w:rFonts w:eastAsia="Calibri" w:cs="Times New Roman"/>
          <w:b/>
          <w:sz w:val="24"/>
          <w:szCs w:val="24"/>
          <w:lang w:eastAsia="ro-RO"/>
        </w:rPr>
        <w:t>modificarea Anexei la HCL 134/25.07.</w:t>
      </w:r>
      <w:r w:rsidRPr="0092668B">
        <w:rPr>
          <w:rFonts w:eastAsia="Calibri" w:cs="Times New Roman"/>
          <w:b/>
          <w:sz w:val="24"/>
          <w:szCs w:val="24"/>
          <w:lang w:eastAsia="ro-RO"/>
        </w:rPr>
        <w:t>2018 privi</w:t>
      </w:r>
      <w:r w:rsidR="0092668B">
        <w:rPr>
          <w:rFonts w:eastAsia="Calibri" w:cs="Times New Roman"/>
          <w:b/>
          <w:sz w:val="24"/>
          <w:szCs w:val="24"/>
          <w:lang w:eastAsia="ro-RO"/>
        </w:rPr>
        <w:t xml:space="preserve">nd aprobarea contractării unei </w:t>
      </w:r>
      <w:r w:rsidRPr="0092668B">
        <w:rPr>
          <w:rFonts w:eastAsia="Calibri" w:cs="Times New Roman"/>
          <w:b/>
          <w:sz w:val="24"/>
          <w:szCs w:val="24"/>
          <w:lang w:eastAsia="ro-RO"/>
        </w:rPr>
        <w:t>finanţări rambursa</w:t>
      </w:r>
      <w:r w:rsidR="0092668B">
        <w:rPr>
          <w:rFonts w:eastAsia="Calibri" w:cs="Times New Roman"/>
          <w:b/>
          <w:sz w:val="24"/>
          <w:szCs w:val="24"/>
          <w:lang w:eastAsia="ro-RO"/>
        </w:rPr>
        <w:t xml:space="preserve">bile </w:t>
      </w:r>
      <w:r w:rsidRPr="0092668B">
        <w:rPr>
          <w:rFonts w:eastAsia="Calibri" w:cs="Times New Roman"/>
          <w:b/>
          <w:sz w:val="24"/>
          <w:szCs w:val="24"/>
          <w:lang w:eastAsia="ro-RO"/>
        </w:rPr>
        <w:t>interne în valoare de 41.572 mii lei, în sensul diminuă</w:t>
      </w:r>
      <w:r w:rsidR="00F93685" w:rsidRPr="0092668B">
        <w:rPr>
          <w:rFonts w:eastAsia="Calibri" w:cs="Times New Roman"/>
          <w:b/>
          <w:sz w:val="24"/>
          <w:szCs w:val="24"/>
          <w:lang w:eastAsia="ro-RO"/>
        </w:rPr>
        <w:t>rii sumelor afe</w:t>
      </w:r>
      <w:r w:rsidRPr="0092668B">
        <w:rPr>
          <w:rFonts w:eastAsia="Calibri" w:cs="Times New Roman"/>
          <w:b/>
          <w:sz w:val="24"/>
          <w:szCs w:val="24"/>
          <w:lang w:eastAsia="ro-RO"/>
        </w:rPr>
        <w:t>rente unor obiective de investiţ</w:t>
      </w:r>
      <w:r w:rsidR="00F93685" w:rsidRPr="0092668B">
        <w:rPr>
          <w:rFonts w:eastAsia="Calibri" w:cs="Times New Roman"/>
          <w:b/>
          <w:sz w:val="24"/>
          <w:szCs w:val="24"/>
          <w:lang w:eastAsia="ro-RO"/>
        </w:rPr>
        <w:t>ii</w:t>
      </w:r>
      <w:r w:rsidRPr="0092668B">
        <w:rPr>
          <w:rFonts w:eastAsia="Calibri" w:cs="Times New Roman"/>
          <w:b/>
          <w:sz w:val="24"/>
          <w:szCs w:val="24"/>
          <w:lang w:eastAsia="ro-RO"/>
        </w:rPr>
        <w:t xml:space="preserve"> (</w:t>
      </w:r>
      <w:r w:rsidR="00F93685" w:rsidRPr="0092668B">
        <w:rPr>
          <w:rFonts w:eastAsia="Calibri" w:cs="Times New Roman"/>
          <w:b/>
          <w:sz w:val="24"/>
          <w:szCs w:val="24"/>
          <w:lang w:eastAsia="ro-RO"/>
        </w:rPr>
        <w:t>inclusiv sume aferen</w:t>
      </w:r>
      <w:r w:rsidRPr="0092668B">
        <w:rPr>
          <w:rFonts w:eastAsia="Calibri" w:cs="Times New Roman"/>
          <w:b/>
          <w:sz w:val="24"/>
          <w:szCs w:val="24"/>
          <w:lang w:eastAsia="ro-RO"/>
        </w:rPr>
        <w:t xml:space="preserve">te </w:t>
      </w:r>
      <w:r w:rsidRPr="0092668B">
        <w:rPr>
          <w:rFonts w:eastAsia="Calibri" w:cs="Times New Roman"/>
          <w:b/>
          <w:sz w:val="24"/>
          <w:szCs w:val="24"/>
          <w:lang w:eastAsia="ro-RO"/>
        </w:rPr>
        <w:lastRenderedPageBreak/>
        <w:t>proiectelor cu finanţare din fonduri europene) ş</w:t>
      </w:r>
      <w:r w:rsidR="00F93685" w:rsidRPr="0092668B">
        <w:rPr>
          <w:rFonts w:eastAsia="Calibri" w:cs="Times New Roman"/>
          <w:b/>
          <w:sz w:val="24"/>
          <w:szCs w:val="24"/>
          <w:lang w:eastAsia="ro-RO"/>
        </w:rPr>
        <w:t>i majorarea sau</w:t>
      </w:r>
      <w:r w:rsidRPr="0092668B">
        <w:rPr>
          <w:rFonts w:eastAsia="Calibri" w:cs="Times New Roman"/>
          <w:b/>
          <w:sz w:val="24"/>
          <w:szCs w:val="24"/>
          <w:lang w:eastAsia="ro-RO"/>
        </w:rPr>
        <w:t xml:space="preserve"> </w:t>
      </w:r>
      <w:r w:rsidR="00F93685" w:rsidRPr="0092668B">
        <w:rPr>
          <w:rFonts w:eastAsia="Calibri" w:cs="Times New Roman"/>
          <w:b/>
          <w:sz w:val="24"/>
          <w:szCs w:val="24"/>
          <w:lang w:eastAsia="ro-RO"/>
        </w:rPr>
        <w:t>/</w:t>
      </w:r>
      <w:r w:rsidRPr="0092668B">
        <w:rPr>
          <w:rFonts w:eastAsia="Calibri" w:cs="Times New Roman"/>
          <w:b/>
          <w:sz w:val="24"/>
          <w:szCs w:val="24"/>
          <w:lang w:eastAsia="ro-RO"/>
        </w:rPr>
        <w:t xml:space="preserve"> şi introducerea altora noi.</w:t>
      </w:r>
      <w:r w:rsidR="00194A14">
        <w:rPr>
          <w:rFonts w:eastAsia="Calibri" w:cs="Times New Roman"/>
          <w:b/>
          <w:sz w:val="24"/>
          <w:szCs w:val="24"/>
          <w:lang w:eastAsia="ro-RO"/>
        </w:rPr>
        <w:t xml:space="preserve"> Suma rămasă din creditul contractat este de 19.809.775,92 lei.</w:t>
      </w:r>
    </w:p>
    <w:p w:rsidR="00E65C8E" w:rsidRPr="0092668B" w:rsidRDefault="00E65C8E" w:rsidP="00432489">
      <w:pPr>
        <w:spacing w:after="0" w:line="240" w:lineRule="auto"/>
        <w:jc w:val="both"/>
        <w:rPr>
          <w:rFonts w:eastAsia="Calibri" w:cs="Times New Roman"/>
          <w:sz w:val="24"/>
          <w:szCs w:val="24"/>
          <w:lang w:eastAsia="ro-RO"/>
        </w:rPr>
      </w:pPr>
      <w:r w:rsidRPr="0092668B">
        <w:rPr>
          <w:rFonts w:eastAsia="Calibri" w:cs="Times New Roman"/>
          <w:b/>
          <w:sz w:val="24"/>
          <w:szCs w:val="24"/>
          <w:lang w:eastAsia="ro-RO"/>
        </w:rPr>
        <w:t>Le mulţumesc consilierilor locali pentru votul acordat şi sper să putem continua în condiţii bune activitatea investiţională din acest an</w:t>
      </w:r>
      <w:r w:rsidR="00257233" w:rsidRPr="0092668B">
        <w:rPr>
          <w:rFonts w:eastAsia="Calibri" w:cs="Times New Roman"/>
          <w:b/>
          <w:sz w:val="24"/>
          <w:szCs w:val="24"/>
          <w:lang w:eastAsia="ro-RO"/>
        </w:rPr>
        <w:t>.</w:t>
      </w:r>
      <w:r w:rsidR="00257233" w:rsidRPr="0092668B">
        <w:rPr>
          <w:rFonts w:eastAsia="Calibri" w:cs="Times New Roman"/>
          <w:sz w:val="24"/>
          <w:szCs w:val="24"/>
          <w:lang w:eastAsia="ro-RO"/>
        </w:rPr>
        <w:t>”, susţine primarul municipiului Călăraşi, Marius Dulce.</w:t>
      </w:r>
    </w:p>
    <w:p w:rsidR="004761F7" w:rsidRPr="0092668B" w:rsidRDefault="0092668B" w:rsidP="0043248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o-RO"/>
        </w:rPr>
      </w:pPr>
      <w:r>
        <w:rPr>
          <w:rFonts w:eastAsia="Times New Roman" w:cs="Times New Roman"/>
          <w:sz w:val="24"/>
          <w:szCs w:val="24"/>
          <w:lang w:eastAsia="ro-RO"/>
        </w:rPr>
        <w:t>Situaţia tragerilor din împrumut până la această dată</w:t>
      </w:r>
      <w:r w:rsidR="00ED779F" w:rsidRPr="0092668B">
        <w:rPr>
          <w:rFonts w:eastAsia="Times New Roman" w:cs="Times New Roman"/>
          <w:sz w:val="24"/>
          <w:szCs w:val="24"/>
          <w:lang w:eastAsia="ro-RO"/>
        </w:rPr>
        <w:t xml:space="preserve"> </w:t>
      </w:r>
      <w:r>
        <w:rPr>
          <w:rFonts w:eastAsia="Times New Roman" w:cs="Times New Roman"/>
          <w:sz w:val="24"/>
          <w:szCs w:val="24"/>
          <w:lang w:eastAsia="ro-RO"/>
        </w:rPr>
        <w:t xml:space="preserve">precum şi propuneile pentru anul 2021 </w:t>
      </w:r>
      <w:r w:rsidR="00590F54" w:rsidRPr="0092668B">
        <w:rPr>
          <w:rFonts w:eastAsia="Times New Roman" w:cs="Times New Roman"/>
          <w:sz w:val="24"/>
          <w:szCs w:val="24"/>
          <w:lang w:eastAsia="ro-RO"/>
        </w:rPr>
        <w:t>sunt</w:t>
      </w:r>
      <w:r w:rsidR="00ED779F" w:rsidRPr="0092668B">
        <w:rPr>
          <w:rFonts w:eastAsia="Times New Roman" w:cs="Times New Roman"/>
          <w:sz w:val="24"/>
          <w:szCs w:val="24"/>
          <w:lang w:eastAsia="ro-RO"/>
        </w:rPr>
        <w:t xml:space="preserve"> prezenta</w:t>
      </w:r>
      <w:r w:rsidR="00590F54" w:rsidRPr="0092668B">
        <w:rPr>
          <w:rFonts w:eastAsia="Times New Roman" w:cs="Times New Roman"/>
          <w:sz w:val="24"/>
          <w:szCs w:val="24"/>
          <w:lang w:eastAsia="ro-RO"/>
        </w:rPr>
        <w:t>te</w:t>
      </w:r>
      <w:r w:rsidR="00ED779F" w:rsidRPr="0092668B">
        <w:rPr>
          <w:rFonts w:eastAsia="Times New Roman" w:cs="Times New Roman"/>
          <w:sz w:val="24"/>
          <w:szCs w:val="24"/>
          <w:lang w:eastAsia="ro-RO"/>
        </w:rPr>
        <w:t xml:space="preserve"> mai jos:</w:t>
      </w:r>
    </w:p>
    <w:p w:rsidR="009C20E5" w:rsidRPr="004761F7" w:rsidRDefault="009C20E5" w:rsidP="009C2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92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7"/>
        <w:gridCol w:w="2255"/>
        <w:gridCol w:w="1523"/>
        <w:gridCol w:w="1107"/>
        <w:gridCol w:w="1384"/>
        <w:gridCol w:w="1246"/>
        <w:gridCol w:w="1246"/>
      </w:tblGrid>
      <w:tr w:rsidR="009C20E5" w:rsidRPr="0048703E" w:rsidTr="00432489">
        <w:trPr>
          <w:trHeight w:val="874"/>
        </w:trPr>
        <w:tc>
          <w:tcPr>
            <w:tcW w:w="679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0E5" w:rsidRPr="00953828" w:rsidRDefault="00953828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>
              <w:rPr>
                <w:rFonts w:eastAsia="Times New Roman" w:cs="Times New Roman"/>
                <w:sz w:val="16"/>
                <w:szCs w:val="16"/>
                <w:lang w:eastAsia="ro-RO"/>
              </w:rPr>
              <w:t>Situaţ</w:t>
            </w:r>
            <w:r w:rsidR="009C20E5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 xml:space="preserve">ie Credit CEC Bank 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 </w:t>
            </w:r>
          </w:p>
        </w:tc>
      </w:tr>
      <w:tr w:rsidR="009C20E5" w:rsidRPr="0048703E" w:rsidTr="00432489">
        <w:trPr>
          <w:trHeight w:val="603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Nr. Crt.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Obiective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Furnizori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Trageri            2019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Trageri            2020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Trageri 2021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 xml:space="preserve">Propunere </w:t>
            </w:r>
          </w:p>
        </w:tc>
      </w:tr>
      <w:tr w:rsidR="009C20E5" w:rsidRPr="0048703E" w:rsidTr="00432489">
        <w:trPr>
          <w:trHeight w:val="603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trageri total credit</w:t>
            </w:r>
          </w:p>
        </w:tc>
      </w:tr>
      <w:tr w:rsidR="009C20E5" w:rsidRPr="0048703E" w:rsidTr="00432489">
        <w:trPr>
          <w:trHeight w:val="316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2668B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Construire Grădiniţ</w:t>
            </w:r>
            <w:r w:rsidR="009C20E5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a cu 8 grupe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53828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SC RCH CON INSTAL SRL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140.019,99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308.827,21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130.000,00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953828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578.847,20</w:t>
            </w:r>
          </w:p>
        </w:tc>
      </w:tr>
      <w:tr w:rsidR="009C20E5" w:rsidRPr="0048703E" w:rsidTr="00432489">
        <w:trPr>
          <w:trHeight w:val="1266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2668B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Documentaţie şi execuţie Amenajare peisagistică ş</w:t>
            </w:r>
            <w:r w:rsidR="009C20E5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i moder</w:t>
            </w: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nizare B-dul Nicolae Titulescu între str.Corniş</w:t>
            </w:r>
            <w:r w:rsidR="009C20E5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 xml:space="preserve">ei </w:t>
            </w: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ş</w:t>
            </w:r>
            <w:r w:rsidR="009C20E5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i str. Locomotivei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 xml:space="preserve">Asociere-SC SAGA INFRASTRUCTURA SRL (FOST </w:t>
            </w:r>
            <w:r w:rsidR="00953828">
              <w:rPr>
                <w:rFonts w:eastAsia="Times New Roman" w:cs="Times New Roman"/>
                <w:sz w:val="16"/>
                <w:szCs w:val="16"/>
                <w:lang w:eastAsia="ro-RO"/>
              </w:rPr>
              <w:t xml:space="preserve">BUSINESS CONSTRUCT), KOMORA SRL, </w:t>
            </w: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PROINSTAL SRL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1.534.507,08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1.994.594,60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860.000,00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4.389.101,68</w:t>
            </w:r>
          </w:p>
        </w:tc>
      </w:tr>
      <w:tr w:rsidR="009C20E5" w:rsidRPr="0048703E" w:rsidTr="00432489">
        <w:trPr>
          <w:trHeight w:val="633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 xml:space="preserve">Modernizare </w:t>
            </w:r>
            <w:r w:rsidR="0092668B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Bazar Big din Municipiul Călăraşi - proiectare şi execuţ</w:t>
            </w: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 xml:space="preserve">ie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SC SIGMA HOUSE CONSTRUCT SRL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135.889,53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2.555.179,35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2.691.068,88</w:t>
            </w:r>
          </w:p>
        </w:tc>
      </w:tr>
      <w:tr w:rsidR="009C20E5" w:rsidRPr="0048703E" w:rsidTr="00432489">
        <w:trPr>
          <w:trHeight w:val="633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2668B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Reabilitare clădire hală piaţă agro-alimentară</w:t>
            </w:r>
            <w:r w:rsidR="009C20E5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 xml:space="preserve"> (hala legum</w:t>
            </w: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e-fructe) din Municipiul Călăraş</w:t>
            </w:r>
            <w:r w:rsidR="009C20E5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i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DECORA REZIDENT SRL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828.157,80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369.000,00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1.197.157,80</w:t>
            </w:r>
          </w:p>
        </w:tc>
      </w:tr>
      <w:tr w:rsidR="009C20E5" w:rsidRPr="0048703E" w:rsidTr="00432489">
        <w:trPr>
          <w:trHeight w:val="1266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2668B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Lucrări de amenajare Piaţa Unirii (Piaţ</w:t>
            </w:r>
            <w:r w:rsidR="009C20E5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 xml:space="preserve">a </w:t>
            </w: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Centrală) din Municipiul Călăraş</w:t>
            </w:r>
            <w:r w:rsidR="009C20E5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i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SC Antrepriza Santiere Constructii Montaj EUROBUILD SRL-Antreprenor si  RSCE ENERGY SERV SRL-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1.711.386,47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2.500.000,57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4.211.387,04</w:t>
            </w:r>
          </w:p>
        </w:tc>
      </w:tr>
      <w:tr w:rsidR="009C20E5" w:rsidRPr="0048703E" w:rsidTr="00432489">
        <w:trPr>
          <w:trHeight w:val="949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2668B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Reţea alimentare cu apă şi canalizare pluvială</w:t>
            </w:r>
            <w:r w:rsidR="009C20E5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 xml:space="preserve"> strada Pescarus, tronson cuprins </w:t>
            </w: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între strada Panduri ş</w:t>
            </w:r>
            <w:r w:rsidR="009C20E5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i strada General Constantin Pantazzi (5000/70,07,05,01+1286000/74,07,06)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SC MEDIR SRL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25.846,80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713.743,01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594.596,00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1.334.185,81</w:t>
            </w:r>
          </w:p>
        </w:tc>
      </w:tr>
      <w:tr w:rsidR="009C20E5" w:rsidRPr="0048703E" w:rsidTr="00432489">
        <w:trPr>
          <w:trHeight w:val="316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2668B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Execuţie reţea canalizare pluvială</w:t>
            </w:r>
            <w:r w:rsidR="009C20E5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 xml:space="preserve"> strada Locomotivei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SC NICO CONSTRUCT SRL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12.493,75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1.489.878,80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750.000,00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2.252.372,55</w:t>
            </w:r>
          </w:p>
        </w:tc>
      </w:tr>
      <w:tr w:rsidR="009C20E5" w:rsidRPr="0048703E" w:rsidTr="00432489">
        <w:trPr>
          <w:trHeight w:val="1266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2668B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Proiect tehnic+Execuţie reţea canalizare menajeră şi pluvială Cartier Măgureni, Municipiul Călăraşi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Asociere-SMART ENERGY BUSINE</w:t>
            </w:r>
            <w:r w:rsidR="00953828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 xml:space="preserve">SS SRL, CRISTA ART CONSTRUCT SRL, OLD NEW CONSTRUCT SRL, </w:t>
            </w: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KOMORA SRL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185.326,19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531.904,83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2.000.000,00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2.717.231,02</w:t>
            </w:r>
          </w:p>
        </w:tc>
      </w:tr>
      <w:tr w:rsidR="009C20E5" w:rsidRPr="0048703E" w:rsidTr="00432489">
        <w:trPr>
          <w:trHeight w:val="316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53828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Reparaţii capitale străzi în Municipiul Călăraş</w:t>
            </w:r>
            <w:r w:rsidR="009C20E5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i – LOT 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SC TELPRON COMEX SRL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1.209.159,30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1.209.159,30</w:t>
            </w:r>
          </w:p>
        </w:tc>
      </w:tr>
      <w:tr w:rsidR="009C20E5" w:rsidRPr="0048703E" w:rsidTr="00432489">
        <w:trPr>
          <w:trHeight w:val="949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10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53828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Modernizare străzi în cartierul Mircea Vodă, Municipiul Călăraş</w:t>
            </w:r>
            <w:r w:rsidR="009C20E5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i –Lot 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Asociere-SC B</w:t>
            </w:r>
            <w:r w:rsidR="00953828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 xml:space="preserve">ERTONI CONSTRUCT SA, SC FRASINUL, </w:t>
            </w: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SC KOMORA SRL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484.070,80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638.696,61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1.122.767,41</w:t>
            </w:r>
          </w:p>
        </w:tc>
      </w:tr>
      <w:tr w:rsidR="009C20E5" w:rsidRPr="0048703E" w:rsidTr="00432489">
        <w:trPr>
          <w:trHeight w:val="949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11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53828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Proiectare şi execuţie, reabilitare şi modernizare strada Griviţ</w:t>
            </w:r>
            <w:r w:rsidR="009C20E5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A</w:t>
            </w:r>
            <w:r w:rsidR="00953828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 xml:space="preserve">sociere-SC BERTONI CONSTRUCT SA, KOMORA SRL, </w:t>
            </w: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FLASH LIHTING SERVICES SA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2.446.434,01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4.367.686,73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4.401.000,00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11.215.120,74</w:t>
            </w:r>
          </w:p>
        </w:tc>
      </w:tr>
      <w:tr w:rsidR="009C20E5" w:rsidRPr="0048703E" w:rsidTr="00432489">
        <w:trPr>
          <w:trHeight w:val="648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12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53828" w:rsidP="0095382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Reparaţi</w:t>
            </w:r>
            <w:r w:rsidR="009C20E5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i strada Plevna, strada Rahova, s</w:t>
            </w: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trada Viitor, Municipiul Călăraş</w:t>
            </w:r>
            <w:r w:rsidR="009C20E5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500.000,00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500.000,00</w:t>
            </w:r>
          </w:p>
        </w:tc>
      </w:tr>
      <w:tr w:rsidR="009C20E5" w:rsidRPr="0048703E" w:rsidTr="00432489">
        <w:trPr>
          <w:trHeight w:val="678"/>
        </w:trPr>
        <w:tc>
          <w:tcPr>
            <w:tcW w:w="27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53828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Subtotal investiţ</w:t>
            </w:r>
            <w:r w:rsidR="009C20E5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ii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4.828.698,62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13.929.924,89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14.659.775,92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33.418.399,43</w:t>
            </w:r>
          </w:p>
        </w:tc>
      </w:tr>
      <w:tr w:rsidR="009C20E5" w:rsidRPr="0048703E" w:rsidTr="00432489">
        <w:trPr>
          <w:trHeight w:val="633"/>
        </w:trPr>
        <w:tc>
          <w:tcPr>
            <w:tcW w:w="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13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 xml:space="preserve">Dezvoltarea patrimoniului cultural prin restaurarea monumentului </w:t>
            </w:r>
            <w:r w:rsidR="00953828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istoric POŞTA VECHE din Municipiul Călăraş</w:t>
            </w: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i, POR 2014-2020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RASUB Construct SRL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668.321,62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200.000,00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868.321,62</w:t>
            </w:r>
          </w:p>
        </w:tc>
      </w:tr>
      <w:tr w:rsidR="009C20E5" w:rsidRPr="0048703E" w:rsidTr="00432489">
        <w:trPr>
          <w:trHeight w:val="633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14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Promo</w:t>
            </w:r>
            <w:r w:rsidR="00953828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varea incluziunii sociale prin înfiinţ</w:t>
            </w: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a</w:t>
            </w:r>
            <w:r w:rsidR="00953828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rea unui Club al Pescarilor dunăreni, din Municipiul Călăraşi</w:t>
            </w: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, POPAM 2014-2020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SAGA INFRASTRUCTURA SRL-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156.040,63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1.200.000,00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1.356.040,63</w:t>
            </w:r>
          </w:p>
        </w:tc>
      </w:tr>
      <w:tr w:rsidR="009C20E5" w:rsidRPr="0048703E" w:rsidTr="00432489">
        <w:trPr>
          <w:trHeight w:val="949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15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Managementu</w:t>
            </w:r>
            <w:r w:rsidR="00953828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l comun al riscului pentru reacţii eficiente ale autorităţilor locale în situaţii de urgenţă, INTERREG V-A Româ</w:t>
            </w: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nia-Bulgaria 2014-2020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53828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GRĂ</w:t>
            </w:r>
            <w:r w:rsidR="009C20E5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DINARIU IMPORT-EXPORT SRL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2.099.999,50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2.099.999,50</w:t>
            </w:r>
          </w:p>
        </w:tc>
      </w:tr>
      <w:tr w:rsidR="009C20E5" w:rsidRPr="0048703E" w:rsidTr="00432489">
        <w:trPr>
          <w:trHeight w:val="633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16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 xml:space="preserve">Reabilitarea termica a Scolii Gimnaziale Tudor Vladimirescu Calarasi, POR 2014-2020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SC Synesis Partners SRL-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12.658,00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100.000,00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112.658,00</w:t>
            </w:r>
          </w:p>
        </w:tc>
      </w:tr>
      <w:tr w:rsidR="009C20E5" w:rsidRPr="0048703E" w:rsidTr="00432489">
        <w:trPr>
          <w:trHeight w:val="633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17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53828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Reabilitarea termică a Grădiniţei cu program prelungit Ţara Copilăriei Călăraşi</w:t>
            </w:r>
            <w:r w:rsidR="009C20E5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 xml:space="preserve">, POR 2014-2020 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SC Synesis Partners SRL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11.207,42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100.000,00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111.207,42</w:t>
            </w:r>
          </w:p>
        </w:tc>
      </w:tr>
      <w:tr w:rsidR="009C20E5" w:rsidRPr="0048703E" w:rsidTr="00432489">
        <w:trPr>
          <w:trHeight w:val="633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18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53828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Reabilitarea termică</w:t>
            </w:r>
            <w:r w:rsidR="009C20E5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 xml:space="preserve"> a Liceului</w:t>
            </w: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 xml:space="preserve"> Teoretic Mihai Eminescu Călăraş</w:t>
            </w:r>
            <w:r w:rsidR="009C20E5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 xml:space="preserve">i,  POR 2014-2020 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SC Synesis Partners SRL-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16.808,24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500.000,00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516.808,24</w:t>
            </w:r>
          </w:p>
        </w:tc>
      </w:tr>
      <w:tr w:rsidR="009C20E5" w:rsidRPr="0048703E" w:rsidTr="00432489">
        <w:trPr>
          <w:trHeight w:val="633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19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53828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Înfiinţare centru pentru activităţi educative şi culturale î</w:t>
            </w:r>
            <w:r w:rsidR="009C20E5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n cartierul Livada, POR 2014-2020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100.000,00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100.000,00</w:t>
            </w:r>
          </w:p>
        </w:tc>
      </w:tr>
      <w:tr w:rsidR="009C20E5" w:rsidRPr="0048703E" w:rsidTr="00432489">
        <w:trPr>
          <w:trHeight w:val="633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20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Moderni</w:t>
            </w:r>
            <w:r w:rsidR="00953828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zare Centru comunitar existent ş</w:t>
            </w: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i amenajare zone adiacente (Oborul Nou), POR 2014-2020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100.000,00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100.000,00</w:t>
            </w:r>
          </w:p>
        </w:tc>
      </w:tr>
      <w:tr w:rsidR="009C20E5" w:rsidRPr="0048703E" w:rsidTr="00432489">
        <w:trPr>
          <w:trHeight w:val="949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21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Sistem integrat pentru simplif</w:t>
            </w:r>
            <w:r w:rsidR="00953828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icare proceduri administrative ş</w:t>
            </w: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i reducerea birocrati</w:t>
            </w:r>
            <w:r w:rsidR="00953828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ei la nivelul Municipiul Călăraş</w:t>
            </w: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i, POCA 2014-2020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SC Smart Mind Solutions SRL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31.279,98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31.279,98</w:t>
            </w:r>
          </w:p>
        </w:tc>
      </w:tr>
      <w:tr w:rsidR="009C20E5" w:rsidRPr="0048703E" w:rsidTr="00432489">
        <w:trPr>
          <w:trHeight w:val="949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53828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Reducerea emisiilor de carbon în municipiul Călăraş</w:t>
            </w:r>
            <w:r w:rsidR="009C20E5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i prin modernizarea  infrastructurii căilor de rulare a transportului publi</w:t>
            </w: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c local SMIS 129156 (str Bucureş</w:t>
            </w:r>
            <w:r w:rsidR="009C20E5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ti)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2.850.000,00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2.850.000,00</w:t>
            </w:r>
          </w:p>
        </w:tc>
      </w:tr>
      <w:tr w:rsidR="009C20E5" w:rsidRPr="0048703E" w:rsidTr="00432489">
        <w:trPr>
          <w:trHeight w:val="949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23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 xml:space="preserve">Fundamentarea deciziilor, planificare </w:t>
            </w:r>
            <w:r w:rsidR="00953828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strategică şi măsuri simplificate pentru cetăţeni la nivelul administraţ</w:t>
            </w: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ie</w:t>
            </w:r>
            <w:r w:rsidR="00953828"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i publice a municipiului Călăraş</w:t>
            </w: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 xml:space="preserve">HOPE PROMO SRL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7.285,18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7.285,18</w:t>
            </w:r>
          </w:p>
        </w:tc>
      </w:tr>
      <w:tr w:rsidR="009C20E5" w:rsidRPr="0048703E" w:rsidTr="00432489">
        <w:trPr>
          <w:trHeight w:val="512"/>
        </w:trPr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Subtotal proiecte FEN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0,00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3.003.600,57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5.150.000,00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8.153.600,57</w:t>
            </w:r>
          </w:p>
        </w:tc>
      </w:tr>
      <w:tr w:rsidR="009C20E5" w:rsidRPr="0048703E" w:rsidTr="00432489">
        <w:trPr>
          <w:trHeight w:val="433"/>
        </w:trPr>
        <w:tc>
          <w:tcPr>
            <w:tcW w:w="27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TOTAL GENERAL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Times New Roman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4.828.698,62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16.933.525,46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19.809.775,92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5" w:rsidRPr="00953828" w:rsidRDefault="009C20E5" w:rsidP="00F9368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o-RO"/>
              </w:rPr>
            </w:pPr>
            <w:r w:rsidRPr="00953828">
              <w:rPr>
                <w:rFonts w:eastAsia="Times New Roman" w:cs="Arial"/>
                <w:sz w:val="16"/>
                <w:szCs w:val="16"/>
                <w:lang w:eastAsia="ro-RO"/>
              </w:rPr>
              <w:t>41.572.000,00</w:t>
            </w:r>
          </w:p>
        </w:tc>
      </w:tr>
    </w:tbl>
    <w:p w:rsidR="009C20E5" w:rsidRPr="00590F54" w:rsidRDefault="009C20E5" w:rsidP="009C20E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sectPr w:rsidR="009C20E5" w:rsidRPr="00590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5B8E"/>
    <w:multiLevelType w:val="hybridMultilevel"/>
    <w:tmpl w:val="1BB6721C"/>
    <w:lvl w:ilvl="0" w:tplc="C930C9D2">
      <w:start w:val="30"/>
      <w:numFmt w:val="bullet"/>
      <w:lvlText w:val="-"/>
      <w:lvlJc w:val="left"/>
      <w:pPr>
        <w:ind w:left="352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1">
    <w:nsid w:val="2252684C"/>
    <w:multiLevelType w:val="hybridMultilevel"/>
    <w:tmpl w:val="804E9F16"/>
    <w:lvl w:ilvl="0" w:tplc="7EEEE046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 w:hint="default"/>
        <w:color w:val="000000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45E3B"/>
    <w:multiLevelType w:val="hybridMultilevel"/>
    <w:tmpl w:val="CD6E6FD6"/>
    <w:lvl w:ilvl="0" w:tplc="ECBA285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2B"/>
    <w:rsid w:val="000007C2"/>
    <w:rsid w:val="000113DB"/>
    <w:rsid w:val="0002472B"/>
    <w:rsid w:val="00050280"/>
    <w:rsid w:val="0005527F"/>
    <w:rsid w:val="0009477B"/>
    <w:rsid w:val="000D22DA"/>
    <w:rsid w:val="000D7AA9"/>
    <w:rsid w:val="001050DA"/>
    <w:rsid w:val="001829B2"/>
    <w:rsid w:val="00194A14"/>
    <w:rsid w:val="001F11F9"/>
    <w:rsid w:val="00226B8B"/>
    <w:rsid w:val="00240100"/>
    <w:rsid w:val="00257233"/>
    <w:rsid w:val="00284EDB"/>
    <w:rsid w:val="002E4055"/>
    <w:rsid w:val="002E5937"/>
    <w:rsid w:val="00347108"/>
    <w:rsid w:val="003A3F23"/>
    <w:rsid w:val="0041222C"/>
    <w:rsid w:val="00432489"/>
    <w:rsid w:val="00434D13"/>
    <w:rsid w:val="0047069B"/>
    <w:rsid w:val="00473FAB"/>
    <w:rsid w:val="004761F7"/>
    <w:rsid w:val="004836C1"/>
    <w:rsid w:val="0048703E"/>
    <w:rsid w:val="004B45A5"/>
    <w:rsid w:val="004E7849"/>
    <w:rsid w:val="00524713"/>
    <w:rsid w:val="005247C3"/>
    <w:rsid w:val="00525557"/>
    <w:rsid w:val="0054700D"/>
    <w:rsid w:val="00571BD4"/>
    <w:rsid w:val="00590F54"/>
    <w:rsid w:val="00593130"/>
    <w:rsid w:val="00616B40"/>
    <w:rsid w:val="006461D0"/>
    <w:rsid w:val="00694764"/>
    <w:rsid w:val="006B0C31"/>
    <w:rsid w:val="006B13CC"/>
    <w:rsid w:val="006E0CEA"/>
    <w:rsid w:val="006F579E"/>
    <w:rsid w:val="00711626"/>
    <w:rsid w:val="00733E3A"/>
    <w:rsid w:val="00740380"/>
    <w:rsid w:val="007515A5"/>
    <w:rsid w:val="00754338"/>
    <w:rsid w:val="007D124E"/>
    <w:rsid w:val="007F4B57"/>
    <w:rsid w:val="00856F65"/>
    <w:rsid w:val="008978D9"/>
    <w:rsid w:val="008B3F80"/>
    <w:rsid w:val="0092668B"/>
    <w:rsid w:val="00947CE5"/>
    <w:rsid w:val="00953828"/>
    <w:rsid w:val="009560BA"/>
    <w:rsid w:val="00965F4A"/>
    <w:rsid w:val="009A0FE3"/>
    <w:rsid w:val="009A4348"/>
    <w:rsid w:val="009A6AA4"/>
    <w:rsid w:val="009A6EED"/>
    <w:rsid w:val="009A70E8"/>
    <w:rsid w:val="009B6867"/>
    <w:rsid w:val="009C20E5"/>
    <w:rsid w:val="009D31F2"/>
    <w:rsid w:val="009F00ED"/>
    <w:rsid w:val="00A23ED1"/>
    <w:rsid w:val="00A33E6B"/>
    <w:rsid w:val="00A76089"/>
    <w:rsid w:val="00A85EBE"/>
    <w:rsid w:val="00AB3875"/>
    <w:rsid w:val="00B04131"/>
    <w:rsid w:val="00B138A8"/>
    <w:rsid w:val="00B363C2"/>
    <w:rsid w:val="00B44126"/>
    <w:rsid w:val="00B61957"/>
    <w:rsid w:val="00B76624"/>
    <w:rsid w:val="00B94EBF"/>
    <w:rsid w:val="00BC5E25"/>
    <w:rsid w:val="00C3603F"/>
    <w:rsid w:val="00C940AE"/>
    <w:rsid w:val="00C96280"/>
    <w:rsid w:val="00CC7DDA"/>
    <w:rsid w:val="00CE24F8"/>
    <w:rsid w:val="00D320CF"/>
    <w:rsid w:val="00DA0D34"/>
    <w:rsid w:val="00DB4D20"/>
    <w:rsid w:val="00DB67EB"/>
    <w:rsid w:val="00DE3BDB"/>
    <w:rsid w:val="00DE629B"/>
    <w:rsid w:val="00E5342F"/>
    <w:rsid w:val="00E65C8E"/>
    <w:rsid w:val="00EB24E5"/>
    <w:rsid w:val="00EB2576"/>
    <w:rsid w:val="00EC7F56"/>
    <w:rsid w:val="00ED779F"/>
    <w:rsid w:val="00EF26E5"/>
    <w:rsid w:val="00F73F52"/>
    <w:rsid w:val="00F908D7"/>
    <w:rsid w:val="00F93685"/>
    <w:rsid w:val="00F93A82"/>
    <w:rsid w:val="00FD5E5C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semiHidden/>
    <w:unhideWhenUsed/>
    <w:qFormat/>
    <w:rsid w:val="00CC7DDA"/>
    <w:pPr>
      <w:keepNext/>
      <w:spacing w:after="0" w:line="240" w:lineRule="auto"/>
      <w:jc w:val="center"/>
      <w:outlineLvl w:val="1"/>
    </w:pPr>
    <w:rPr>
      <w:rFonts w:ascii="Arial" w:eastAsia="Arial Unicode MS" w:hAnsi="Arial" w:cs="Arial"/>
      <w:b/>
      <w:bCs/>
      <w:szCs w:val="24"/>
      <w:lang w:val="en-US" w:eastAsia="ro-RO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CC7DDA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harCharCharCharCharChar1CharCharCharCharCharCharCharCharCharCharCharCharCharCharCharCharCharCharCharCharCharChar">
    <w:name w:val="Char Char Char Char Char Char1 Char Char Char Char Char Char Char Char Char Char Char Char Char Char Char Char Char Char Char Char Char Char"/>
    <w:basedOn w:val="Normal"/>
    <w:rsid w:val="00DA0D3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Titlu2Caracter">
    <w:name w:val="Titlu 2 Caracter"/>
    <w:basedOn w:val="Fontdeparagrafimplicit"/>
    <w:link w:val="Titlu2"/>
    <w:semiHidden/>
    <w:rsid w:val="00CC7DDA"/>
    <w:rPr>
      <w:rFonts w:ascii="Arial" w:eastAsia="Arial Unicode MS" w:hAnsi="Arial" w:cs="Arial"/>
      <w:b/>
      <w:bCs/>
      <w:szCs w:val="24"/>
      <w:lang w:val="en-US" w:eastAsia="ro-RO"/>
    </w:rPr>
  </w:style>
  <w:style w:type="character" w:customStyle="1" w:styleId="Titlu3Caracter">
    <w:name w:val="Titlu 3 Caracter"/>
    <w:basedOn w:val="Fontdeparagrafimplicit"/>
    <w:link w:val="Titlu3"/>
    <w:semiHidden/>
    <w:rsid w:val="00CC7DDA"/>
    <w:rPr>
      <w:rFonts w:ascii="Arial" w:eastAsia="Times New Roman" w:hAnsi="Arial" w:cs="Arial"/>
      <w:b/>
      <w:bCs/>
      <w:szCs w:val="24"/>
      <w:lang w:val="fr-FR" w:eastAsia="ro-RO"/>
    </w:rPr>
  </w:style>
  <w:style w:type="paragraph" w:styleId="Corptext">
    <w:name w:val="Body Text"/>
    <w:basedOn w:val="Normal"/>
    <w:link w:val="CorptextCaracter"/>
    <w:semiHidden/>
    <w:unhideWhenUsed/>
    <w:rsid w:val="00CC7DDA"/>
    <w:pPr>
      <w:spacing w:after="0" w:line="240" w:lineRule="auto"/>
      <w:jc w:val="both"/>
    </w:pPr>
    <w:rPr>
      <w:rFonts w:ascii="Arial" w:eastAsia="Calibri" w:hAnsi="Arial" w:cs="Arial"/>
      <w:sz w:val="24"/>
      <w:szCs w:val="24"/>
      <w:lang w:val="en-US" w:eastAsia="ro-RO"/>
    </w:rPr>
  </w:style>
  <w:style w:type="character" w:customStyle="1" w:styleId="CorptextCaracter">
    <w:name w:val="Corp text Caracter"/>
    <w:basedOn w:val="Fontdeparagrafimplicit"/>
    <w:link w:val="Corptext"/>
    <w:semiHidden/>
    <w:rsid w:val="00CC7DDA"/>
    <w:rPr>
      <w:rFonts w:ascii="Arial" w:eastAsia="Calibri" w:hAnsi="Arial" w:cs="Arial"/>
      <w:sz w:val="24"/>
      <w:szCs w:val="24"/>
      <w:lang w:val="en-US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3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3875"/>
    <w:rPr>
      <w:rFonts w:ascii="Tahoma" w:hAnsi="Tahoma" w:cs="Tahoma"/>
      <w:sz w:val="16"/>
      <w:szCs w:val="16"/>
    </w:rPr>
  </w:style>
  <w:style w:type="character" w:styleId="Robust">
    <w:name w:val="Strong"/>
    <w:basedOn w:val="Fontdeparagrafimplicit"/>
    <w:uiPriority w:val="22"/>
    <w:qFormat/>
    <w:rsid w:val="003A3F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semiHidden/>
    <w:unhideWhenUsed/>
    <w:qFormat/>
    <w:rsid w:val="00CC7DDA"/>
    <w:pPr>
      <w:keepNext/>
      <w:spacing w:after="0" w:line="240" w:lineRule="auto"/>
      <w:jc w:val="center"/>
      <w:outlineLvl w:val="1"/>
    </w:pPr>
    <w:rPr>
      <w:rFonts w:ascii="Arial" w:eastAsia="Arial Unicode MS" w:hAnsi="Arial" w:cs="Arial"/>
      <w:b/>
      <w:bCs/>
      <w:szCs w:val="24"/>
      <w:lang w:val="en-US" w:eastAsia="ro-RO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CC7DDA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harCharCharCharCharChar1CharCharCharCharCharCharCharCharCharCharCharCharCharCharCharCharCharCharCharCharCharChar">
    <w:name w:val="Char Char Char Char Char Char1 Char Char Char Char Char Char Char Char Char Char Char Char Char Char Char Char Char Char Char Char Char Char"/>
    <w:basedOn w:val="Normal"/>
    <w:rsid w:val="00DA0D3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Titlu2Caracter">
    <w:name w:val="Titlu 2 Caracter"/>
    <w:basedOn w:val="Fontdeparagrafimplicit"/>
    <w:link w:val="Titlu2"/>
    <w:semiHidden/>
    <w:rsid w:val="00CC7DDA"/>
    <w:rPr>
      <w:rFonts w:ascii="Arial" w:eastAsia="Arial Unicode MS" w:hAnsi="Arial" w:cs="Arial"/>
      <w:b/>
      <w:bCs/>
      <w:szCs w:val="24"/>
      <w:lang w:val="en-US" w:eastAsia="ro-RO"/>
    </w:rPr>
  </w:style>
  <w:style w:type="character" w:customStyle="1" w:styleId="Titlu3Caracter">
    <w:name w:val="Titlu 3 Caracter"/>
    <w:basedOn w:val="Fontdeparagrafimplicit"/>
    <w:link w:val="Titlu3"/>
    <w:semiHidden/>
    <w:rsid w:val="00CC7DDA"/>
    <w:rPr>
      <w:rFonts w:ascii="Arial" w:eastAsia="Times New Roman" w:hAnsi="Arial" w:cs="Arial"/>
      <w:b/>
      <w:bCs/>
      <w:szCs w:val="24"/>
      <w:lang w:val="fr-FR" w:eastAsia="ro-RO"/>
    </w:rPr>
  </w:style>
  <w:style w:type="paragraph" w:styleId="Corptext">
    <w:name w:val="Body Text"/>
    <w:basedOn w:val="Normal"/>
    <w:link w:val="CorptextCaracter"/>
    <w:semiHidden/>
    <w:unhideWhenUsed/>
    <w:rsid w:val="00CC7DDA"/>
    <w:pPr>
      <w:spacing w:after="0" w:line="240" w:lineRule="auto"/>
      <w:jc w:val="both"/>
    </w:pPr>
    <w:rPr>
      <w:rFonts w:ascii="Arial" w:eastAsia="Calibri" w:hAnsi="Arial" w:cs="Arial"/>
      <w:sz w:val="24"/>
      <w:szCs w:val="24"/>
      <w:lang w:val="en-US" w:eastAsia="ro-RO"/>
    </w:rPr>
  </w:style>
  <w:style w:type="character" w:customStyle="1" w:styleId="CorptextCaracter">
    <w:name w:val="Corp text Caracter"/>
    <w:basedOn w:val="Fontdeparagrafimplicit"/>
    <w:link w:val="Corptext"/>
    <w:semiHidden/>
    <w:rsid w:val="00CC7DDA"/>
    <w:rPr>
      <w:rFonts w:ascii="Arial" w:eastAsia="Calibri" w:hAnsi="Arial" w:cs="Arial"/>
      <w:sz w:val="24"/>
      <w:szCs w:val="24"/>
      <w:lang w:val="en-US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3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3875"/>
    <w:rPr>
      <w:rFonts w:ascii="Tahoma" w:hAnsi="Tahoma" w:cs="Tahoma"/>
      <w:sz w:val="16"/>
      <w:szCs w:val="16"/>
    </w:rPr>
  </w:style>
  <w:style w:type="character" w:styleId="Robust">
    <w:name w:val="Strong"/>
    <w:basedOn w:val="Fontdeparagrafimplicit"/>
    <w:uiPriority w:val="22"/>
    <w:qFormat/>
    <w:rsid w:val="003A3F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953</Words>
  <Characters>5531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Zane</dc:creator>
  <cp:lastModifiedBy>god007</cp:lastModifiedBy>
  <cp:revision>13</cp:revision>
  <cp:lastPrinted>2021-01-27T14:00:00Z</cp:lastPrinted>
  <dcterms:created xsi:type="dcterms:W3CDTF">2021-01-29T09:55:00Z</dcterms:created>
  <dcterms:modified xsi:type="dcterms:W3CDTF">2021-01-29T11:58:00Z</dcterms:modified>
</cp:coreProperties>
</file>